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B3AD7" w14:textId="77777777" w:rsidR="005C1A92" w:rsidRPr="00772070" w:rsidRDefault="005C1A92" w:rsidP="005C1A92">
      <w:pPr>
        <w:rPr>
          <w:rFonts w:ascii="Times New Roman" w:hAnsi="Times New Roman" w:cs="Times New Roman"/>
        </w:rPr>
      </w:pPr>
      <w:r w:rsidRPr="00772070">
        <w:rPr>
          <w:rFonts w:ascii="Times New Roman" w:hAnsi="Times New Roman" w:cs="Times New Roman"/>
        </w:rPr>
        <w:t>IN THE CIRCUIT COURT OF THE THIRD CIRCUIT</w:t>
      </w:r>
      <w:r w:rsidRPr="00772070">
        <w:rPr>
          <w:rFonts w:ascii="Times New Roman" w:hAnsi="Times New Roman" w:cs="Times New Roman"/>
        </w:rPr>
        <w:br/>
        <w:t>STATE OF HAWAI‘I</w:t>
      </w:r>
    </w:p>
    <w:p w14:paraId="3DCD0560" w14:textId="77777777" w:rsidR="005C1A92" w:rsidRPr="00772070" w:rsidRDefault="005C1A92" w:rsidP="005C1A92">
      <w:pPr>
        <w:rPr>
          <w:rFonts w:ascii="Times New Roman" w:hAnsi="Times New Roman" w:cs="Times New Roman"/>
        </w:rPr>
      </w:pPr>
      <w:r w:rsidRPr="00772070">
        <w:rPr>
          <w:rFonts w:ascii="Times New Roman" w:hAnsi="Times New Roman" w:cs="Times New Roman"/>
        </w:rPr>
        <w:t>DAISY MITCHELL;</w:t>
      </w:r>
      <w:r w:rsidRPr="00772070">
        <w:rPr>
          <w:rFonts w:ascii="Times New Roman" w:hAnsi="Times New Roman" w:cs="Times New Roman"/>
        </w:rPr>
        <w:br/>
        <w:t>REBECCA MELENDEZ,</w:t>
      </w:r>
    </w:p>
    <w:p w14:paraId="7D540159" w14:textId="77777777" w:rsidR="005C1A92" w:rsidRPr="00772070" w:rsidRDefault="005C1A92" w:rsidP="005C1A92">
      <w:pPr>
        <w:rPr>
          <w:rFonts w:ascii="Times New Roman" w:hAnsi="Times New Roman" w:cs="Times New Roman"/>
        </w:rPr>
      </w:pPr>
      <w:r w:rsidRPr="00772070">
        <w:rPr>
          <w:rFonts w:ascii="Times New Roman" w:hAnsi="Times New Roman" w:cs="Times New Roman"/>
        </w:rPr>
        <w:t>Petitioners,</w:t>
      </w:r>
    </w:p>
    <w:p w14:paraId="1AC4AC7E" w14:textId="77777777" w:rsidR="005C1A92" w:rsidRPr="00772070" w:rsidRDefault="005C1A92" w:rsidP="005C1A92">
      <w:pPr>
        <w:rPr>
          <w:rFonts w:ascii="Times New Roman" w:hAnsi="Times New Roman" w:cs="Times New Roman"/>
        </w:rPr>
      </w:pPr>
      <w:r w:rsidRPr="00772070">
        <w:rPr>
          <w:rFonts w:ascii="Times New Roman" w:hAnsi="Times New Roman" w:cs="Times New Roman"/>
        </w:rPr>
        <w:t>vs.</w:t>
      </w:r>
    </w:p>
    <w:p w14:paraId="061A2CAD" w14:textId="77777777" w:rsidR="005C1A92" w:rsidRPr="00772070" w:rsidRDefault="005C1A92" w:rsidP="005C1A92">
      <w:pPr>
        <w:rPr>
          <w:rFonts w:ascii="Times New Roman" w:hAnsi="Times New Roman" w:cs="Times New Roman"/>
        </w:rPr>
      </w:pPr>
      <w:r w:rsidRPr="00772070">
        <w:rPr>
          <w:rFonts w:ascii="Times New Roman" w:hAnsi="Times New Roman" w:cs="Times New Roman"/>
        </w:rPr>
        <w:t>KAMEHAMEHA SCHOOLS (BISHOP ESTATE);</w:t>
      </w:r>
      <w:r w:rsidRPr="00772070">
        <w:rPr>
          <w:rFonts w:ascii="Times New Roman" w:hAnsi="Times New Roman" w:cs="Times New Roman"/>
        </w:rPr>
        <w:br/>
        <w:t>HAWAI‘I COUNTY PLANNING;</w:t>
      </w:r>
      <w:r w:rsidRPr="00772070">
        <w:rPr>
          <w:rFonts w:ascii="Times New Roman" w:hAnsi="Times New Roman" w:cs="Times New Roman"/>
        </w:rPr>
        <w:br/>
        <w:t>JEFF DARROW, IN HIS OFFICIAL CAPACITY AS DIRECTOR;</w:t>
      </w:r>
      <w:r w:rsidRPr="00772070">
        <w:rPr>
          <w:rFonts w:ascii="Times New Roman" w:hAnsi="Times New Roman" w:cs="Times New Roman"/>
        </w:rPr>
        <w:br/>
        <w:t>MARISSA HARMAN, IN HER PROFESSIONAL &amp; OFFICIAL CAPACITY;</w:t>
      </w:r>
      <w:r w:rsidRPr="00772070">
        <w:rPr>
          <w:rFonts w:ascii="Times New Roman" w:hAnsi="Times New Roman" w:cs="Times New Roman"/>
        </w:rPr>
        <w:br/>
        <w:t>G70;</w:t>
      </w:r>
      <w:r w:rsidRPr="00772070">
        <w:rPr>
          <w:rFonts w:ascii="Times New Roman" w:hAnsi="Times New Roman" w:cs="Times New Roman"/>
        </w:rPr>
        <w:br/>
        <w:t>KAWIKA MCKEAGUE, IN HIS OFFICIAL CAPACITY;</w:t>
      </w:r>
      <w:r w:rsidRPr="00772070">
        <w:rPr>
          <w:rFonts w:ascii="Times New Roman" w:hAnsi="Times New Roman" w:cs="Times New Roman"/>
        </w:rPr>
        <w:br/>
        <w:t>JANE DOES 1-20;</w:t>
      </w:r>
      <w:r w:rsidRPr="00772070">
        <w:rPr>
          <w:rFonts w:ascii="Times New Roman" w:hAnsi="Times New Roman" w:cs="Times New Roman"/>
        </w:rPr>
        <w:br/>
        <w:t>DOE CORPORATIONS 1-20;</w:t>
      </w:r>
      <w:r w:rsidRPr="00772070">
        <w:rPr>
          <w:rFonts w:ascii="Times New Roman" w:hAnsi="Times New Roman" w:cs="Times New Roman"/>
        </w:rPr>
        <w:br/>
        <w:t>DOE ENTITIES 1-20;</w:t>
      </w:r>
      <w:r w:rsidRPr="00772070">
        <w:rPr>
          <w:rFonts w:ascii="Times New Roman" w:hAnsi="Times New Roman" w:cs="Times New Roman"/>
        </w:rPr>
        <w:br/>
        <w:t>AND DOE GOVERNMENTAL UNITS 1-20,</w:t>
      </w:r>
    </w:p>
    <w:p w14:paraId="3530A697" w14:textId="77777777" w:rsidR="005C1A92" w:rsidRPr="00772070" w:rsidRDefault="005C1A92" w:rsidP="005C1A92">
      <w:pPr>
        <w:rPr>
          <w:rFonts w:ascii="Times New Roman" w:hAnsi="Times New Roman" w:cs="Times New Roman"/>
        </w:rPr>
      </w:pPr>
      <w:r w:rsidRPr="00772070">
        <w:rPr>
          <w:rFonts w:ascii="Times New Roman" w:hAnsi="Times New Roman" w:cs="Times New Roman"/>
        </w:rPr>
        <w:t>Respondents.</w:t>
      </w:r>
    </w:p>
    <w:p w14:paraId="2673BC1C" w14:textId="77777777" w:rsidR="005C1A92" w:rsidRPr="00772070" w:rsidRDefault="005C1A92" w:rsidP="005C1A92">
      <w:pPr>
        <w:rPr>
          <w:rFonts w:ascii="Times New Roman" w:hAnsi="Times New Roman" w:cs="Times New Roman"/>
        </w:rPr>
      </w:pPr>
      <w:r w:rsidRPr="00772070">
        <w:rPr>
          <w:rFonts w:ascii="Times New Roman" w:hAnsi="Times New Roman" w:cs="Times New Roman"/>
        </w:rPr>
        <w:t>CIVIL NO. 3CCV-25-0000438</w:t>
      </w:r>
    </w:p>
    <w:p w14:paraId="41043C10" w14:textId="77777777" w:rsidR="005C1A92" w:rsidRPr="00772070" w:rsidRDefault="005C1A92" w:rsidP="005C1A92">
      <w:pPr>
        <w:rPr>
          <w:rFonts w:ascii="Times New Roman" w:hAnsi="Times New Roman" w:cs="Times New Roman"/>
        </w:rPr>
      </w:pPr>
      <w:r w:rsidRPr="00772070">
        <w:rPr>
          <w:rFonts w:ascii="Times New Roman" w:hAnsi="Times New Roman" w:cs="Times New Roman"/>
        </w:rPr>
        <w:t>PETITIONERS’ REPLY TO DEFENDANT COUNTY OF HAWAI‘I’S ANSWER TO FIRST AMENDED PETITION</w:t>
      </w:r>
    </w:p>
    <w:p w14:paraId="5A810D00" w14:textId="77777777" w:rsidR="005C1A92" w:rsidRPr="00772070" w:rsidRDefault="005C1A92" w:rsidP="005C1A92">
      <w:pPr>
        <w:rPr>
          <w:rFonts w:ascii="Times New Roman" w:hAnsi="Times New Roman" w:cs="Times New Roman"/>
        </w:rPr>
      </w:pPr>
      <w:r w:rsidRPr="00772070">
        <w:rPr>
          <w:rFonts w:ascii="Times New Roman" w:hAnsi="Times New Roman" w:cs="Times New Roman"/>
        </w:rPr>
        <w:t>Petitioners Daisy Mitchell and Rebecca Melendez, appearing pro se, respectfully submit this Reply to Defendant County of Hawai‘i’s Answer filed May 4, 2026.</w:t>
      </w:r>
    </w:p>
    <w:p w14:paraId="23DC9504" w14:textId="77777777" w:rsidR="005C1A92" w:rsidRPr="00772070" w:rsidRDefault="005C1A92" w:rsidP="005C1A92">
      <w:pPr>
        <w:numPr>
          <w:ilvl w:val="0"/>
          <w:numId w:val="11"/>
        </w:numPr>
        <w:rPr>
          <w:rFonts w:ascii="Times New Roman" w:hAnsi="Times New Roman" w:cs="Times New Roman"/>
        </w:rPr>
      </w:pPr>
      <w:r w:rsidRPr="00772070">
        <w:rPr>
          <w:rFonts w:ascii="Times New Roman" w:hAnsi="Times New Roman" w:cs="Times New Roman"/>
        </w:rPr>
        <w:t>County Defendants generally deny the allegations contained within the First Amended Petition and repeatedly assert lack of sufficient knowledge or information. However, the First Amended Petition sets forth detailed factual allegations, constitutional claims, statutory violations, exhibit citations, and administrative record references supporting judicial review under HRS §343-7(c).</w:t>
      </w:r>
    </w:p>
    <w:p w14:paraId="604D7006" w14:textId="77777777" w:rsidR="005C1A92" w:rsidRPr="00772070" w:rsidRDefault="005C1A92" w:rsidP="005C1A92">
      <w:pPr>
        <w:numPr>
          <w:ilvl w:val="0"/>
          <w:numId w:val="11"/>
        </w:numPr>
        <w:rPr>
          <w:rFonts w:ascii="Times New Roman" w:hAnsi="Times New Roman" w:cs="Times New Roman"/>
        </w:rPr>
      </w:pPr>
      <w:r w:rsidRPr="00772070">
        <w:rPr>
          <w:rFonts w:ascii="Times New Roman" w:hAnsi="Times New Roman" w:cs="Times New Roman"/>
        </w:rPr>
        <w:t>County Defendants deny that the challenged FEIS violates HRS Chapter 343 and related constitutional protections. However, Petitioners specifically alleged that the FEIS:</w:t>
      </w:r>
    </w:p>
    <w:p w14:paraId="15CF9184" w14:textId="77777777" w:rsidR="005C1A92" w:rsidRPr="00772070" w:rsidRDefault="005C1A92" w:rsidP="005C1A92">
      <w:pPr>
        <w:rPr>
          <w:rFonts w:ascii="Times New Roman" w:hAnsi="Times New Roman" w:cs="Times New Roman"/>
        </w:rPr>
      </w:pPr>
      <w:r w:rsidRPr="00772070">
        <w:rPr>
          <w:rFonts w:ascii="Times New Roman" w:hAnsi="Times New Roman" w:cs="Times New Roman"/>
        </w:rPr>
        <w:t>a. Failed to meaningfully disclose and analyze Keauhou Bay’s impaired water status under Clean Water Act §303(d), despite record evidence identifying Keauhou Bay Assessment Unit HI713293 as impaired. See First Amended Petition pp. 10–11;</w:t>
      </w:r>
    </w:p>
    <w:p w14:paraId="570E27AE" w14:textId="77777777" w:rsidR="005C1A92" w:rsidRPr="00772070" w:rsidRDefault="005C1A92" w:rsidP="005C1A92">
      <w:pPr>
        <w:rPr>
          <w:rFonts w:ascii="Times New Roman" w:hAnsi="Times New Roman" w:cs="Times New Roman"/>
        </w:rPr>
      </w:pPr>
      <w:r w:rsidRPr="00772070">
        <w:rPr>
          <w:rFonts w:ascii="Times New Roman" w:hAnsi="Times New Roman" w:cs="Times New Roman"/>
        </w:rPr>
        <w:t>b. Failed to adequately analyze stormwater runoff pathways, pollutant transport, sediment discharge, and cumulative water-quality degradation affecting Keauhou Bay. See pp. 10–12;</w:t>
      </w:r>
    </w:p>
    <w:p w14:paraId="551516ED" w14:textId="77777777" w:rsidR="005C1A92" w:rsidRPr="00772070" w:rsidRDefault="005C1A92" w:rsidP="005C1A92">
      <w:pPr>
        <w:rPr>
          <w:rFonts w:ascii="Times New Roman" w:hAnsi="Times New Roman" w:cs="Times New Roman"/>
        </w:rPr>
      </w:pPr>
      <w:r w:rsidRPr="00772070">
        <w:rPr>
          <w:rFonts w:ascii="Times New Roman" w:hAnsi="Times New Roman" w:cs="Times New Roman"/>
        </w:rPr>
        <w:lastRenderedPageBreak/>
        <w:t>c. Failed to adequately evaluate impacts to endangered and threatened marine species, including impacts associated with sedimentation, runoff, vessel activity, lighting, and cumulative coastal intensification. See pp. 10–12;</w:t>
      </w:r>
    </w:p>
    <w:p w14:paraId="1079ED20" w14:textId="609C931A" w:rsidR="007E6E97" w:rsidRPr="00772070" w:rsidRDefault="007E6E97" w:rsidP="007E6E97">
      <w:pPr>
        <w:rPr>
          <w:rFonts w:ascii="Times New Roman" w:hAnsi="Times New Roman" w:cs="Times New Roman"/>
        </w:rPr>
      </w:pPr>
      <w:r w:rsidRPr="00772070">
        <w:rPr>
          <w:rFonts w:ascii="Times New Roman" w:hAnsi="Times New Roman" w:cs="Times New Roman"/>
        </w:rPr>
        <w:t xml:space="preserve">d. </w:t>
      </w:r>
      <w:r w:rsidR="00821F2D" w:rsidRPr="00772070">
        <w:rPr>
          <w:rFonts w:ascii="Times New Roman" w:hAnsi="Times New Roman" w:cs="Times New Roman"/>
        </w:rPr>
        <w:t>Alleged that the FEIS f</w:t>
      </w:r>
      <w:r w:rsidRPr="00772070">
        <w:rPr>
          <w:rFonts w:ascii="Times New Roman" w:hAnsi="Times New Roman" w:cs="Times New Roman"/>
        </w:rPr>
        <w:t>ailed to conduct meaningful cumulative impact analysis regarding increased water demand, wastewater generation, shoreline intensification, aquifer impacts, infrastructure strain, energy demand, and long-term coastal resource degradation affecting already constrained island systems. Petitioners specifically alleged that publicly documented drought conditions, water conservation notices, power generation shortages, landfill capacity concerns, traffic congestion, roadway safety concerns, infrastructure strain, and aquifer oversight concerns demonstrate existing baseline resource stress that was not meaningfully integrated into the FEIS cumulative analysis. Petitioners further alleged that these documented conditions reflect broader strain upon already constrained island infrastructure and public trust resources, including increasing transportation congestion and roadway impacts associated with continued large-scale development pressure on Hawai‘i Island.</w:t>
      </w:r>
    </w:p>
    <w:p w14:paraId="308AB087" w14:textId="77777777" w:rsidR="007E6E97" w:rsidRPr="00772070" w:rsidRDefault="007E6E97" w:rsidP="007E6E97">
      <w:pPr>
        <w:rPr>
          <w:rFonts w:ascii="Times New Roman" w:hAnsi="Times New Roman" w:cs="Times New Roman"/>
        </w:rPr>
      </w:pPr>
      <w:r w:rsidRPr="00772070">
        <w:rPr>
          <w:rFonts w:ascii="Times New Roman" w:hAnsi="Times New Roman" w:cs="Times New Roman"/>
        </w:rPr>
        <w:t>Petitioners further alleged that the administrative record reflects the absence of necessary baseline comparison data and that no documented baseline study measuring existing sedimentation rates, nutrient conditions, cumulative marine impacts, or quantified comparison between existing and proposed impervious surface coverage was identified within the FEIS. Petitioners further alleged that, without adequate baseline assessment, the FEIS could not reliably evaluate cumulative runoff, wastewater loading, sediment transport, or long-term impacts to coastal waters and public trust resources prior to acceptance. See pp. 12–16, 20; Ex. M-21; Exs. M-1 through M-17 and M-22 through M-25.</w:t>
      </w:r>
    </w:p>
    <w:p w14:paraId="72B8D3B8" w14:textId="77777777" w:rsidR="005C1A92" w:rsidRPr="00772070" w:rsidRDefault="005C1A92" w:rsidP="005C1A92">
      <w:pPr>
        <w:rPr>
          <w:rFonts w:ascii="Times New Roman" w:hAnsi="Times New Roman" w:cs="Times New Roman"/>
        </w:rPr>
      </w:pPr>
      <w:r w:rsidRPr="00772070">
        <w:rPr>
          <w:rFonts w:ascii="Times New Roman" w:hAnsi="Times New Roman" w:cs="Times New Roman"/>
        </w:rPr>
        <w:t>e. Deferred Ka Pa‘akai analysis, cultural protections, archaeological evaluation, and mitigation measures to future permitting stages rather than completing those analyses during FEIS review. See pp. 14–15;</w:t>
      </w:r>
    </w:p>
    <w:p w14:paraId="379F28D0" w14:textId="77777777" w:rsidR="005C1A92" w:rsidRPr="00772070" w:rsidRDefault="005C1A92" w:rsidP="005C1A92">
      <w:pPr>
        <w:rPr>
          <w:rFonts w:ascii="Times New Roman" w:hAnsi="Times New Roman" w:cs="Times New Roman"/>
        </w:rPr>
      </w:pPr>
      <w:r w:rsidRPr="00772070">
        <w:rPr>
          <w:rFonts w:ascii="Times New Roman" w:hAnsi="Times New Roman" w:cs="Times New Roman"/>
        </w:rPr>
        <w:t>f. Advanced a project configuration analyzing up to 150 bungalow units despite record evidence identifying an assigned 101-unit water allocation within the administrative record, without reconciling that discrepancy within the FEIS environmental review. See pp. 18–18;</w:t>
      </w:r>
    </w:p>
    <w:p w14:paraId="6FED8DD9" w14:textId="77777777" w:rsidR="005C1A92" w:rsidRPr="00772070" w:rsidRDefault="005C1A92" w:rsidP="005C1A92">
      <w:pPr>
        <w:rPr>
          <w:rFonts w:ascii="Times New Roman" w:hAnsi="Times New Roman" w:cs="Times New Roman"/>
        </w:rPr>
      </w:pPr>
      <w:r w:rsidRPr="00772070">
        <w:rPr>
          <w:rFonts w:ascii="Times New Roman" w:hAnsi="Times New Roman" w:cs="Times New Roman"/>
        </w:rPr>
        <w:t>g. Mischaracterized or incompletely represented submitted public comments, petitions, scientific reports, and supporting documentation transmitted during the DEIS comment period. See pp. 20–22.</w:t>
      </w:r>
    </w:p>
    <w:p w14:paraId="52823734" w14:textId="522B774C" w:rsidR="00772070" w:rsidRPr="00772070" w:rsidRDefault="00772070" w:rsidP="00772070">
      <w:pPr>
        <w:pStyle w:val="NormalWeb"/>
        <w:numPr>
          <w:ilvl w:val="0"/>
          <w:numId w:val="12"/>
        </w:numPr>
      </w:pPr>
      <w:r w:rsidRPr="00772070">
        <w:t>Petitioners specifically alleged that the administrative record documents an assigned 101-unit water allocation while the FEIS analyzes environmental impacts associated with a project configuration of up to 150 bungalow units without reconciling that discrepancy within the environmental review itself. Petitioners further alleged that projected water demand, wastewater generation, runoff, and cumulative impacts scale directly with project intensity and therefore bear directly upon the adequacy of environmental disclosure and cumulative impact analysis required under HRS Chapter 343. See pp. 18–18.</w:t>
      </w:r>
    </w:p>
    <w:p w14:paraId="313D1917" w14:textId="40271271" w:rsidR="005C1A92" w:rsidRPr="00772070" w:rsidRDefault="005C1A92" w:rsidP="005C1A92">
      <w:pPr>
        <w:numPr>
          <w:ilvl w:val="0"/>
          <w:numId w:val="12"/>
        </w:numPr>
        <w:rPr>
          <w:rFonts w:ascii="Times New Roman" w:hAnsi="Times New Roman" w:cs="Times New Roman"/>
        </w:rPr>
      </w:pPr>
      <w:r w:rsidRPr="00772070">
        <w:rPr>
          <w:rFonts w:ascii="Times New Roman" w:hAnsi="Times New Roman" w:cs="Times New Roman"/>
        </w:rPr>
        <w:lastRenderedPageBreak/>
        <w:t>County Defendants deny Petitioners’ standing. However, the First Amended Petition specifically alleges concrete and particularized injury.</w:t>
      </w:r>
    </w:p>
    <w:p w14:paraId="765D3C7E" w14:textId="24FBA809" w:rsidR="00011CA3" w:rsidRDefault="00011CA3" w:rsidP="005C1A92">
      <w:pPr>
        <w:numPr>
          <w:ilvl w:val="0"/>
          <w:numId w:val="12"/>
        </w:numPr>
        <w:rPr>
          <w:rFonts w:ascii="Times New Roman" w:hAnsi="Times New Roman" w:cs="Times New Roman"/>
        </w:rPr>
      </w:pPr>
      <w:r w:rsidRPr="00011CA3">
        <w:rPr>
          <w:rFonts w:ascii="Times New Roman" w:hAnsi="Times New Roman" w:cs="Times New Roman"/>
        </w:rPr>
        <w:t>Petitioners alleged that Daisy Mitchell, a lineal descendant of Keauhou Ahupua'a, exercises constitutionally protected</w:t>
      </w:r>
      <w:r w:rsidR="00665B2C">
        <w:rPr>
          <w:rFonts w:ascii="Times New Roman" w:hAnsi="Times New Roman" w:cs="Times New Roman"/>
        </w:rPr>
        <w:t xml:space="preserve"> </w:t>
      </w:r>
      <w:r w:rsidRPr="00011CA3">
        <w:rPr>
          <w:rFonts w:ascii="Times New Roman" w:hAnsi="Times New Roman" w:cs="Times New Roman"/>
        </w:rPr>
        <w:t>traditional and customary Kanaka Maoli protocols at identifiable shoreline and</w:t>
      </w:r>
      <w:r w:rsidR="00665B2C">
        <w:rPr>
          <w:rFonts w:ascii="Times New Roman" w:hAnsi="Times New Roman" w:cs="Times New Roman"/>
        </w:rPr>
        <w:t xml:space="preserve"> </w:t>
      </w:r>
      <w:r w:rsidRPr="00011CA3">
        <w:rPr>
          <w:rFonts w:ascii="Times New Roman" w:hAnsi="Times New Roman" w:cs="Times New Roman"/>
        </w:rPr>
        <w:t>marine locations within Keauhou Bay and that impairment of water quality,</w:t>
      </w:r>
      <w:r w:rsidR="00665B2C">
        <w:rPr>
          <w:rFonts w:ascii="Times New Roman" w:hAnsi="Times New Roman" w:cs="Times New Roman"/>
        </w:rPr>
        <w:t xml:space="preserve"> </w:t>
      </w:r>
      <w:r w:rsidRPr="00011CA3">
        <w:rPr>
          <w:rFonts w:ascii="Times New Roman" w:hAnsi="Times New Roman" w:cs="Times New Roman"/>
        </w:rPr>
        <w:t>shoreline access, marine habitat, and ecological balance would directly interfere with those practices. See pp. 3–4.</w:t>
      </w:r>
    </w:p>
    <w:p w14:paraId="454E3D00" w14:textId="022591F6" w:rsidR="005C1A92" w:rsidRPr="00772070" w:rsidRDefault="005C1A92" w:rsidP="005C1A92">
      <w:pPr>
        <w:numPr>
          <w:ilvl w:val="0"/>
          <w:numId w:val="12"/>
        </w:numPr>
        <w:rPr>
          <w:rFonts w:ascii="Times New Roman" w:hAnsi="Times New Roman" w:cs="Times New Roman"/>
        </w:rPr>
      </w:pPr>
      <w:r w:rsidRPr="00772070">
        <w:rPr>
          <w:rFonts w:ascii="Times New Roman" w:hAnsi="Times New Roman" w:cs="Times New Roman"/>
        </w:rPr>
        <w:t>Petitioners further alleged that Rebecca Melendez:</w:t>
      </w:r>
    </w:p>
    <w:p w14:paraId="658712CC" w14:textId="77777777" w:rsidR="005C1A92" w:rsidRPr="00772070" w:rsidRDefault="005C1A92" w:rsidP="005C1A92">
      <w:pPr>
        <w:rPr>
          <w:rFonts w:ascii="Times New Roman" w:hAnsi="Times New Roman" w:cs="Times New Roman"/>
        </w:rPr>
      </w:pPr>
      <w:r w:rsidRPr="00772070">
        <w:rPr>
          <w:rFonts w:ascii="Times New Roman" w:hAnsi="Times New Roman" w:cs="Times New Roman"/>
        </w:rPr>
        <w:t>a. Has been involved with Keauhou Bay for more than twenty years;</w:t>
      </w:r>
    </w:p>
    <w:p w14:paraId="09E9083C" w14:textId="77777777" w:rsidR="005C1A92" w:rsidRPr="00772070" w:rsidRDefault="005C1A92" w:rsidP="005C1A92">
      <w:pPr>
        <w:rPr>
          <w:rFonts w:ascii="Times New Roman" w:hAnsi="Times New Roman" w:cs="Times New Roman"/>
        </w:rPr>
      </w:pPr>
      <w:r w:rsidRPr="00772070">
        <w:rPr>
          <w:rFonts w:ascii="Times New Roman" w:hAnsi="Times New Roman" w:cs="Times New Roman"/>
        </w:rPr>
        <w:t>b. Worked on vessels operating within the Bay;</w:t>
      </w:r>
    </w:p>
    <w:p w14:paraId="4BED9D65" w14:textId="77777777" w:rsidR="005C1A92" w:rsidRPr="00772070" w:rsidRDefault="005C1A92" w:rsidP="005C1A92">
      <w:pPr>
        <w:rPr>
          <w:rFonts w:ascii="Times New Roman" w:hAnsi="Times New Roman" w:cs="Times New Roman"/>
        </w:rPr>
      </w:pPr>
      <w:r w:rsidRPr="00772070">
        <w:rPr>
          <w:rFonts w:ascii="Times New Roman" w:hAnsi="Times New Roman" w:cs="Times New Roman"/>
        </w:rPr>
        <w:t>c. Resided in the immediate Bay area for over eleven years;</w:t>
      </w:r>
    </w:p>
    <w:p w14:paraId="75BBFCFC" w14:textId="77777777" w:rsidR="005C1A92" w:rsidRPr="00772070" w:rsidRDefault="005C1A92" w:rsidP="005C1A92">
      <w:pPr>
        <w:rPr>
          <w:rFonts w:ascii="Times New Roman" w:hAnsi="Times New Roman" w:cs="Times New Roman"/>
        </w:rPr>
      </w:pPr>
      <w:r w:rsidRPr="00772070">
        <w:rPr>
          <w:rFonts w:ascii="Times New Roman" w:hAnsi="Times New Roman" w:cs="Times New Roman"/>
        </w:rPr>
        <w:t>d. Continues to regularly use and rely upon Keauhou Bay’s shoreline, nearshore waters, marine ecosystem, and environmental quality;</w:t>
      </w:r>
    </w:p>
    <w:p w14:paraId="47E552D2" w14:textId="77777777" w:rsidR="005C1A92" w:rsidRPr="00772070" w:rsidRDefault="005C1A92" w:rsidP="005C1A92">
      <w:pPr>
        <w:rPr>
          <w:rFonts w:ascii="Times New Roman" w:hAnsi="Times New Roman" w:cs="Times New Roman"/>
        </w:rPr>
      </w:pPr>
      <w:r w:rsidRPr="00772070">
        <w:rPr>
          <w:rFonts w:ascii="Times New Roman" w:hAnsi="Times New Roman" w:cs="Times New Roman"/>
        </w:rPr>
        <w:t>e. Personally met with Marissa Harman and Kāʻeo Duarte regarding environmental concerns associated with the project;</w:t>
      </w:r>
    </w:p>
    <w:p w14:paraId="43A7251F" w14:textId="77777777" w:rsidR="005C1A92" w:rsidRPr="00772070" w:rsidRDefault="005C1A92" w:rsidP="005C1A92">
      <w:pPr>
        <w:rPr>
          <w:rFonts w:ascii="Times New Roman" w:hAnsi="Times New Roman" w:cs="Times New Roman"/>
        </w:rPr>
      </w:pPr>
      <w:r w:rsidRPr="00772070">
        <w:rPr>
          <w:rFonts w:ascii="Times New Roman" w:hAnsi="Times New Roman" w:cs="Times New Roman"/>
        </w:rPr>
        <w:t>f. Submitted scientific documentation, environmental analyses, petitions, and public comments during the environmental review process;</w:t>
      </w:r>
    </w:p>
    <w:p w14:paraId="7E47E023" w14:textId="77777777" w:rsidR="005C1A92" w:rsidRPr="00772070" w:rsidRDefault="005C1A92" w:rsidP="005C1A92">
      <w:pPr>
        <w:rPr>
          <w:rFonts w:ascii="Times New Roman" w:hAnsi="Times New Roman" w:cs="Times New Roman"/>
        </w:rPr>
      </w:pPr>
      <w:r w:rsidRPr="00772070">
        <w:rPr>
          <w:rFonts w:ascii="Times New Roman" w:hAnsi="Times New Roman" w:cs="Times New Roman"/>
        </w:rPr>
        <w:t>g. Participated directly in the administrative review process underlying the challenged FEIS acceptance.</w:t>
      </w:r>
    </w:p>
    <w:p w14:paraId="266EA2AA" w14:textId="77777777" w:rsidR="005C1A92" w:rsidRPr="00772070" w:rsidRDefault="005C1A92" w:rsidP="005C1A92">
      <w:pPr>
        <w:rPr>
          <w:rFonts w:ascii="Times New Roman" w:hAnsi="Times New Roman" w:cs="Times New Roman"/>
        </w:rPr>
      </w:pPr>
      <w:r w:rsidRPr="00772070">
        <w:rPr>
          <w:rFonts w:ascii="Times New Roman" w:hAnsi="Times New Roman" w:cs="Times New Roman"/>
        </w:rPr>
        <w:t>See pp. 6–8, 20–22.</w:t>
      </w:r>
    </w:p>
    <w:p w14:paraId="7D6328A6" w14:textId="77777777" w:rsidR="005C1A92" w:rsidRPr="00772070" w:rsidRDefault="005C1A92" w:rsidP="005C1A92">
      <w:pPr>
        <w:numPr>
          <w:ilvl w:val="0"/>
          <w:numId w:val="13"/>
        </w:numPr>
        <w:rPr>
          <w:rFonts w:ascii="Times New Roman" w:hAnsi="Times New Roman" w:cs="Times New Roman"/>
        </w:rPr>
      </w:pPr>
      <w:r w:rsidRPr="00772070">
        <w:rPr>
          <w:rFonts w:ascii="Times New Roman" w:hAnsi="Times New Roman" w:cs="Times New Roman"/>
        </w:rPr>
        <w:t>County Defendants further deny violations of Article XI and Article XII of the Hawai‘i Constitution. However, Petitioners specifically alleged that:</w:t>
      </w:r>
    </w:p>
    <w:p w14:paraId="601B60CA" w14:textId="77777777" w:rsidR="005C1A92" w:rsidRPr="00772070" w:rsidRDefault="005C1A92" w:rsidP="005C1A92">
      <w:pPr>
        <w:rPr>
          <w:rFonts w:ascii="Times New Roman" w:hAnsi="Times New Roman" w:cs="Times New Roman"/>
        </w:rPr>
      </w:pPr>
      <w:r w:rsidRPr="00772070">
        <w:rPr>
          <w:rFonts w:ascii="Times New Roman" w:hAnsi="Times New Roman" w:cs="Times New Roman"/>
        </w:rPr>
        <w:t>a. Article XII, Section 7 requires agencies to identify affected cultural resources, determine impacts upon traditional and customary practices, and identify feasible protective measures prior to approval. See pp. 4–5;</w:t>
      </w:r>
    </w:p>
    <w:p w14:paraId="155D0239" w14:textId="77777777" w:rsidR="005C1A92" w:rsidRPr="00772070" w:rsidRDefault="005C1A92" w:rsidP="005C1A92">
      <w:pPr>
        <w:rPr>
          <w:rFonts w:ascii="Times New Roman" w:hAnsi="Times New Roman" w:cs="Times New Roman"/>
        </w:rPr>
      </w:pPr>
      <w:r w:rsidRPr="00772070">
        <w:rPr>
          <w:rFonts w:ascii="Times New Roman" w:hAnsi="Times New Roman" w:cs="Times New Roman"/>
        </w:rPr>
        <w:t>b. Ka Pa‘akai prohibits deferral of cultural protection analysis to future permitting stages. See pp. 4–5;</w:t>
      </w:r>
    </w:p>
    <w:p w14:paraId="2C2AFA35" w14:textId="77777777" w:rsidR="005C1A92" w:rsidRPr="00772070" w:rsidRDefault="005C1A92" w:rsidP="005C1A92">
      <w:pPr>
        <w:rPr>
          <w:rFonts w:ascii="Times New Roman" w:hAnsi="Times New Roman" w:cs="Times New Roman"/>
        </w:rPr>
      </w:pPr>
      <w:r w:rsidRPr="00772070">
        <w:rPr>
          <w:rFonts w:ascii="Times New Roman" w:hAnsi="Times New Roman" w:cs="Times New Roman"/>
        </w:rPr>
        <w:t>c. Article XI imposes affirmative public trust duties requiring protection of water resources and ecological balance. See pp. 4–5;</w:t>
      </w:r>
    </w:p>
    <w:p w14:paraId="07CD9142" w14:textId="77777777" w:rsidR="005C1A92" w:rsidRPr="00772070" w:rsidRDefault="005C1A92" w:rsidP="005C1A92">
      <w:pPr>
        <w:rPr>
          <w:rFonts w:ascii="Times New Roman" w:hAnsi="Times New Roman" w:cs="Times New Roman"/>
        </w:rPr>
      </w:pPr>
      <w:r w:rsidRPr="00772070">
        <w:rPr>
          <w:rFonts w:ascii="Times New Roman" w:hAnsi="Times New Roman" w:cs="Times New Roman"/>
        </w:rPr>
        <w:t>d. Waiāhole requires heightened scrutiny and meaningful cumulative impact analysis where public trust resources are implicated. See pp. 5, 12–15.</w:t>
      </w:r>
    </w:p>
    <w:p w14:paraId="744A47D2" w14:textId="77777777" w:rsidR="005C1A92" w:rsidRPr="00772070" w:rsidRDefault="005C1A92" w:rsidP="005C1A92">
      <w:pPr>
        <w:numPr>
          <w:ilvl w:val="0"/>
          <w:numId w:val="14"/>
        </w:numPr>
        <w:rPr>
          <w:rFonts w:ascii="Times New Roman" w:hAnsi="Times New Roman" w:cs="Times New Roman"/>
        </w:rPr>
      </w:pPr>
      <w:r w:rsidRPr="00772070">
        <w:rPr>
          <w:rFonts w:ascii="Times New Roman" w:hAnsi="Times New Roman" w:cs="Times New Roman"/>
        </w:rPr>
        <w:lastRenderedPageBreak/>
        <w:t>County Defendants deny that discretionary agency action violated HRS §343-5(c). However, the First Amended Petition specifically alleges that acceptance of a legally sufficient FEIS is a statutory condition precedent to discretionary approval and advancement of the proposed action. See First Amended Petition pp. 9, 13–15.</w:t>
      </w:r>
    </w:p>
    <w:p w14:paraId="60B241FE" w14:textId="0AAB04CD" w:rsidR="005C1A92" w:rsidRPr="00772070" w:rsidRDefault="005C1A92" w:rsidP="005C1A92">
      <w:pPr>
        <w:numPr>
          <w:ilvl w:val="0"/>
          <w:numId w:val="14"/>
        </w:numPr>
        <w:rPr>
          <w:rFonts w:ascii="Times New Roman" w:hAnsi="Times New Roman" w:cs="Times New Roman"/>
        </w:rPr>
      </w:pPr>
      <w:r w:rsidRPr="00772070">
        <w:rPr>
          <w:rFonts w:ascii="Times New Roman" w:hAnsi="Times New Roman" w:cs="Times New Roman"/>
        </w:rPr>
        <w:t>Petitioners specifically alleged that the administrative record identified unresolved deficiencies concerning impaired water status, cumulative environmental impacts, deferred mitigation analysis, public trust resources, endangered and threatened marine species, traditional and customary rights protections, and existing infrastructure and resource strain affecting Hawai‘i Island prior to FEIS acceptance. Petitioners further alleged that publicly documented drought conditions, water conservation notices, power generation shortages, aquifer oversight concerns, and broader strain upon already constrained island systems were directly relevant to the cumulative impact analysis required under HRS Chapter 343. See pp. 12–1</w:t>
      </w:r>
      <w:r w:rsidR="00D1072F">
        <w:rPr>
          <w:rFonts w:ascii="Times New Roman" w:hAnsi="Times New Roman" w:cs="Times New Roman"/>
        </w:rPr>
        <w:t>5</w:t>
      </w:r>
      <w:r w:rsidRPr="00772070">
        <w:rPr>
          <w:rFonts w:ascii="Times New Roman" w:hAnsi="Times New Roman" w:cs="Times New Roman"/>
        </w:rPr>
        <w:t>; Exs. M-1 through M-17 and M-22 through M-25.</w:t>
      </w:r>
    </w:p>
    <w:p w14:paraId="319A8D1C" w14:textId="77777777" w:rsidR="005C1A92" w:rsidRDefault="005C1A92" w:rsidP="005C1A92">
      <w:pPr>
        <w:rPr>
          <w:rFonts w:ascii="Times New Roman" w:hAnsi="Times New Roman" w:cs="Times New Roman"/>
        </w:rPr>
      </w:pPr>
      <w:r w:rsidRPr="00772070">
        <w:rPr>
          <w:rFonts w:ascii="Times New Roman" w:hAnsi="Times New Roman" w:cs="Times New Roman"/>
        </w:rPr>
        <w:t>Petitioners further alleged that, as Planning Director and accepting authority under HRS Chapter 343, Respondent Jeff Darrow was required to independently determine whether the FEIS adequately disclosed and analyzed cumulative environmental impacts affecting public trust resources and long-term resource sustainability prior to permitting continued advancement of the proposed development. See pp. 13–15.</w:t>
      </w:r>
    </w:p>
    <w:p w14:paraId="752E07E8" w14:textId="77777777" w:rsidR="00D1072F" w:rsidRPr="00D1072F" w:rsidRDefault="00D1072F" w:rsidP="00D1072F">
      <w:pPr>
        <w:rPr>
          <w:rFonts w:ascii="Times New Roman" w:hAnsi="Times New Roman" w:cs="Times New Roman"/>
        </w:rPr>
      </w:pPr>
      <w:r w:rsidRPr="00D1072F">
        <w:rPr>
          <w:rFonts w:ascii="Times New Roman" w:hAnsi="Times New Roman" w:cs="Times New Roman"/>
        </w:rPr>
        <w:t>County Defendants’ Answer does not specifically address or meaningfully rebut the Petition’s allegations concerning existing island resource strain, drought conditions, infrastructure limitations, landfill capacity concerns, water conservation concerns, power generation shortages, or cumulative impacts upon already constrained island systems as identified throughout the Petition and supporting exhibits.</w:t>
      </w:r>
    </w:p>
    <w:p w14:paraId="6635A0E0" w14:textId="4B80C36D" w:rsidR="00CE2E6D" w:rsidRDefault="00C52883" w:rsidP="00C52883">
      <w:pPr>
        <w:pStyle w:val="NormalWeb"/>
        <w:numPr>
          <w:ilvl w:val="0"/>
          <w:numId w:val="15"/>
        </w:numPr>
      </w:pPr>
      <w:r>
        <w:t>Petitioners further alleged that, despite those identified deficiencies, the Planning Department accepted and permitted continued reliance upon the FEIS in connection with discretionary agency action under HRS Chapter 343. See pp. 13–15.</w:t>
      </w:r>
    </w:p>
    <w:p w14:paraId="1D23DAFC" w14:textId="77777777" w:rsidR="00CE2E6D" w:rsidRPr="00CE2E6D" w:rsidRDefault="00CE2E6D" w:rsidP="00CE2E6D">
      <w:pPr>
        <w:pStyle w:val="NormalWeb"/>
      </w:pPr>
    </w:p>
    <w:p w14:paraId="48809763" w14:textId="4BAA7ACB" w:rsidR="005C1A92" w:rsidRPr="00C52883" w:rsidRDefault="005C1A92" w:rsidP="00C52883">
      <w:pPr>
        <w:numPr>
          <w:ilvl w:val="0"/>
          <w:numId w:val="15"/>
        </w:numPr>
        <w:rPr>
          <w:rFonts w:ascii="Times New Roman" w:hAnsi="Times New Roman" w:cs="Times New Roman"/>
        </w:rPr>
      </w:pPr>
      <w:r w:rsidRPr="00C52883">
        <w:rPr>
          <w:rFonts w:ascii="Times New Roman" w:hAnsi="Times New Roman" w:cs="Times New Roman"/>
        </w:rPr>
        <w:t>Petitioners specifically alleged that Respondent Jeff Darrow, in his official capacity as Planning Director and accepting authority under HRS Chapter 343, accepted and permitted reliance upon an FEIS that Petitioners allege did not satisfy the statutory requirements of disclosure, cumulative impact analysis, response to comments, and environmental review required under HRS §343-2 and HRS §343-5(c). See pp. 9, 13–16.</w:t>
      </w:r>
    </w:p>
    <w:p w14:paraId="083C95E6" w14:textId="77777777" w:rsidR="005C1A92" w:rsidRPr="00772070" w:rsidRDefault="005C1A92" w:rsidP="005C1A92">
      <w:pPr>
        <w:numPr>
          <w:ilvl w:val="0"/>
          <w:numId w:val="15"/>
        </w:numPr>
        <w:rPr>
          <w:rFonts w:ascii="Times New Roman" w:hAnsi="Times New Roman" w:cs="Times New Roman"/>
        </w:rPr>
      </w:pPr>
      <w:r w:rsidRPr="00772070">
        <w:rPr>
          <w:rFonts w:ascii="Times New Roman" w:hAnsi="Times New Roman" w:cs="Times New Roman"/>
        </w:rPr>
        <w:t xml:space="preserve">Petitioners further alleged that the accepting authority’s role under HRS Chapter 343 is not ministerial and requires an independent determination regarding whether the FEIS </w:t>
      </w:r>
      <w:r w:rsidRPr="00772070">
        <w:rPr>
          <w:rFonts w:ascii="Times New Roman" w:hAnsi="Times New Roman" w:cs="Times New Roman"/>
        </w:rPr>
        <w:lastRenderedPageBreak/>
        <w:t>adequately disclosed environmental impacts and satisfied the statutory requirements for acceptance prior to discretionary agency advancement. See pp. 13–14.</w:t>
      </w:r>
    </w:p>
    <w:p w14:paraId="174F3F5F" w14:textId="77777777" w:rsidR="005C1A92" w:rsidRPr="00772070" w:rsidRDefault="005C1A92" w:rsidP="005C1A92">
      <w:pPr>
        <w:numPr>
          <w:ilvl w:val="0"/>
          <w:numId w:val="15"/>
        </w:numPr>
        <w:rPr>
          <w:rFonts w:ascii="Times New Roman" w:hAnsi="Times New Roman" w:cs="Times New Roman"/>
        </w:rPr>
      </w:pPr>
      <w:r w:rsidRPr="00772070">
        <w:rPr>
          <w:rFonts w:ascii="Times New Roman" w:hAnsi="Times New Roman" w:cs="Times New Roman"/>
        </w:rPr>
        <w:t>Petitioners therefore alleged that acceptance and continued reliance upon the challenged FEIS constituted discretionary agency action subject to judicial review under HRS §343-7(c). See pp. 9, 13–16.</w:t>
      </w:r>
    </w:p>
    <w:p w14:paraId="126676B1" w14:textId="77777777" w:rsidR="000019AF" w:rsidRDefault="000019AF" w:rsidP="005C1A92">
      <w:pPr>
        <w:numPr>
          <w:ilvl w:val="0"/>
          <w:numId w:val="15"/>
        </w:numPr>
        <w:rPr>
          <w:rFonts w:ascii="Times New Roman" w:hAnsi="Times New Roman" w:cs="Times New Roman"/>
        </w:rPr>
      </w:pPr>
      <w:r w:rsidRPr="000019AF">
        <w:rPr>
          <w:rFonts w:ascii="Times New Roman" w:hAnsi="Times New Roman" w:cs="Times New Roman"/>
        </w:rPr>
        <w:t>County Defendants repeatedly state within their Answer that referenced statutes, exhibits, and documents “speak for themselves,” rather than directly admitting or denying certain allegations set forth in the First Amended Petition. Petitioners further allege that the statutes, administrative record, exhibits, environmental submissions, constitutional authorities, and cited materials incorporated throughout the First Amended Petition support the allegations presented therein and are properly subject to judicial review by this Court.</w:t>
      </w:r>
    </w:p>
    <w:p w14:paraId="43B53FA2" w14:textId="5658E81D" w:rsidR="005C1A92" w:rsidRPr="00772070" w:rsidRDefault="005C1A92" w:rsidP="005C1A92">
      <w:pPr>
        <w:numPr>
          <w:ilvl w:val="0"/>
          <w:numId w:val="15"/>
        </w:numPr>
        <w:rPr>
          <w:rFonts w:ascii="Times New Roman" w:hAnsi="Times New Roman" w:cs="Times New Roman"/>
        </w:rPr>
      </w:pPr>
      <w:r w:rsidRPr="00772070">
        <w:rPr>
          <w:rFonts w:ascii="Times New Roman" w:hAnsi="Times New Roman" w:cs="Times New Roman"/>
        </w:rPr>
        <w:t xml:space="preserve">Petitioners further note that County Defendants’ Answer relies primarily upon generalized denials, assertions of insufficient knowledge, and broad-form responses rather than substantive factual rebuttal to the specific allegations, exhibit citations, and administrative record references set forth throughout the First Amended Petition. Petitioners further note that, on page 3 of the Answer, County Defendants incorrectly identify “JEFF DARROWN” instead of Jeff Darrow within the section addressing Respondent Jeff Darrow, </w:t>
      </w:r>
      <w:r w:rsidR="008538F3" w:rsidRPr="008538F3">
        <w:rPr>
          <w:rFonts w:ascii="Times New Roman" w:hAnsi="Times New Roman" w:cs="Times New Roman"/>
        </w:rPr>
        <w:t>reflecting the generalized and repetitive nature of the response and the absence of specific factual rebuttal to many of the allegations, exhibits, and administrative record references set forth in the First Amended Petition.</w:t>
      </w:r>
    </w:p>
    <w:p w14:paraId="1B57057E" w14:textId="77777777" w:rsidR="005C1A92" w:rsidRPr="00772070" w:rsidRDefault="005C1A92" w:rsidP="005C1A92">
      <w:pPr>
        <w:rPr>
          <w:rFonts w:ascii="Times New Roman" w:hAnsi="Times New Roman" w:cs="Times New Roman"/>
        </w:rPr>
      </w:pPr>
      <w:r w:rsidRPr="00772070">
        <w:rPr>
          <w:rFonts w:ascii="Times New Roman" w:hAnsi="Times New Roman" w:cs="Times New Roman"/>
        </w:rPr>
        <w:t>WHEREFORE, Petitioners respectfully request that the Court deny dismissal of the First Amended Petition, permit full judicial review of the FEIS acceptance and related agency actions, and grant such other and further relief as the Court deems just and proper.</w:t>
      </w:r>
    </w:p>
    <w:p w14:paraId="747A6BDE" w14:textId="77777777" w:rsidR="005C1A92" w:rsidRPr="00772070" w:rsidRDefault="005C1A92" w:rsidP="005C1A92">
      <w:pPr>
        <w:rPr>
          <w:rFonts w:ascii="Times New Roman" w:hAnsi="Times New Roman" w:cs="Times New Roman"/>
        </w:rPr>
      </w:pPr>
      <w:r w:rsidRPr="00772070">
        <w:rPr>
          <w:rFonts w:ascii="Times New Roman" w:hAnsi="Times New Roman" w:cs="Times New Roman"/>
        </w:rPr>
        <w:t>DATED: Kailua-Kona, Hawai‘i, ____________________, 2026.</w:t>
      </w:r>
    </w:p>
    <w:p w14:paraId="17890D3A" w14:textId="77777777" w:rsidR="005C1A92" w:rsidRPr="00772070" w:rsidRDefault="00000000" w:rsidP="005C1A92">
      <w:pPr>
        <w:rPr>
          <w:rFonts w:ascii="Times New Roman" w:hAnsi="Times New Roman" w:cs="Times New Roman"/>
        </w:rPr>
      </w:pPr>
      <w:r>
        <w:rPr>
          <w:rFonts w:ascii="Times New Roman" w:hAnsi="Times New Roman" w:cs="Times New Roman"/>
        </w:rPr>
        <w:pict w14:anchorId="051B1FE6">
          <v:rect id="_x0000_i1025" style="width:0;height:1.5pt" o:hralign="center" o:hrstd="t" o:hr="t" fillcolor="#a0a0a0" stroked="f"/>
        </w:pict>
      </w:r>
    </w:p>
    <w:p w14:paraId="7FCD1AFF" w14:textId="77777777" w:rsidR="005C1A92" w:rsidRPr="00772070" w:rsidRDefault="005C1A92" w:rsidP="005C1A92">
      <w:pPr>
        <w:rPr>
          <w:rFonts w:ascii="Times New Roman" w:hAnsi="Times New Roman" w:cs="Times New Roman"/>
        </w:rPr>
      </w:pPr>
      <w:r w:rsidRPr="00772070">
        <w:rPr>
          <w:rFonts w:ascii="Times New Roman" w:hAnsi="Times New Roman" w:cs="Times New Roman"/>
        </w:rPr>
        <w:t>DAISY MITCHELL</w:t>
      </w:r>
      <w:r w:rsidRPr="00772070">
        <w:rPr>
          <w:rFonts w:ascii="Times New Roman" w:hAnsi="Times New Roman" w:cs="Times New Roman"/>
        </w:rPr>
        <w:br/>
        <w:t>Petitioner Pro Se</w:t>
      </w:r>
    </w:p>
    <w:p w14:paraId="7A9199ED" w14:textId="77777777" w:rsidR="005C1A92" w:rsidRPr="00772070" w:rsidRDefault="00000000" w:rsidP="005C1A92">
      <w:pPr>
        <w:rPr>
          <w:rFonts w:ascii="Times New Roman" w:hAnsi="Times New Roman" w:cs="Times New Roman"/>
        </w:rPr>
      </w:pPr>
      <w:r>
        <w:rPr>
          <w:rFonts w:ascii="Times New Roman" w:hAnsi="Times New Roman" w:cs="Times New Roman"/>
        </w:rPr>
        <w:pict w14:anchorId="7CA36DE1">
          <v:rect id="_x0000_i1026" style="width:0;height:1.5pt" o:hralign="center" o:hrstd="t" o:hr="t" fillcolor="#a0a0a0" stroked="f"/>
        </w:pict>
      </w:r>
    </w:p>
    <w:p w14:paraId="3ECB0B83" w14:textId="77777777" w:rsidR="005C1A92" w:rsidRPr="00772070" w:rsidRDefault="005C1A92" w:rsidP="005C1A92">
      <w:pPr>
        <w:rPr>
          <w:rFonts w:ascii="Times New Roman" w:hAnsi="Times New Roman" w:cs="Times New Roman"/>
        </w:rPr>
      </w:pPr>
      <w:r w:rsidRPr="00772070">
        <w:rPr>
          <w:rFonts w:ascii="Times New Roman" w:hAnsi="Times New Roman" w:cs="Times New Roman"/>
        </w:rPr>
        <w:t>REBECCA MELENDEZ</w:t>
      </w:r>
      <w:r w:rsidRPr="00772070">
        <w:rPr>
          <w:rFonts w:ascii="Times New Roman" w:hAnsi="Times New Roman" w:cs="Times New Roman"/>
        </w:rPr>
        <w:br/>
        <w:t>Petitioner Pro Se</w:t>
      </w:r>
    </w:p>
    <w:p w14:paraId="7389D8B1" w14:textId="77777777" w:rsidR="00A61C38" w:rsidRPr="00772070" w:rsidRDefault="00A61C38" w:rsidP="00E6790E">
      <w:pPr>
        <w:rPr>
          <w:rFonts w:ascii="Times New Roman" w:hAnsi="Times New Roman" w:cs="Times New Roman"/>
        </w:rPr>
      </w:pPr>
    </w:p>
    <w:sectPr w:rsidR="00A61C38" w:rsidRPr="007720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2951"/>
    <w:multiLevelType w:val="multilevel"/>
    <w:tmpl w:val="A81004B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A25DD3"/>
    <w:multiLevelType w:val="multilevel"/>
    <w:tmpl w:val="44E44EC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D576F1"/>
    <w:multiLevelType w:val="multilevel"/>
    <w:tmpl w:val="7A3E1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CF03EF"/>
    <w:multiLevelType w:val="multilevel"/>
    <w:tmpl w:val="321E26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7B5953"/>
    <w:multiLevelType w:val="multilevel"/>
    <w:tmpl w:val="27AC3CA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205E60"/>
    <w:multiLevelType w:val="multilevel"/>
    <w:tmpl w:val="A7DEA3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6E213D"/>
    <w:multiLevelType w:val="multilevel"/>
    <w:tmpl w:val="958EF46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CD5082"/>
    <w:multiLevelType w:val="multilevel"/>
    <w:tmpl w:val="87C2918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5D71B1"/>
    <w:multiLevelType w:val="multilevel"/>
    <w:tmpl w:val="BA6441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BF2550"/>
    <w:multiLevelType w:val="multilevel"/>
    <w:tmpl w:val="696A752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710B7F"/>
    <w:multiLevelType w:val="multilevel"/>
    <w:tmpl w:val="6616AF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DB0A67"/>
    <w:multiLevelType w:val="multilevel"/>
    <w:tmpl w:val="75583B02"/>
    <w:lvl w:ilvl="0">
      <w:start w:val="3"/>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1838EB"/>
    <w:multiLevelType w:val="multilevel"/>
    <w:tmpl w:val="BDCE2A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DC4AA5"/>
    <w:multiLevelType w:val="multilevel"/>
    <w:tmpl w:val="B5EA6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DE7DCD"/>
    <w:multiLevelType w:val="multilevel"/>
    <w:tmpl w:val="0148656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1826E1"/>
    <w:multiLevelType w:val="multilevel"/>
    <w:tmpl w:val="748CAC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3F00A3"/>
    <w:multiLevelType w:val="multilevel"/>
    <w:tmpl w:val="57084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4469482">
    <w:abstractNumId w:val="16"/>
  </w:num>
  <w:num w:numId="2" w16cid:durableId="1263805774">
    <w:abstractNumId w:val="3"/>
  </w:num>
  <w:num w:numId="3" w16cid:durableId="517087303">
    <w:abstractNumId w:val="12"/>
  </w:num>
  <w:num w:numId="4" w16cid:durableId="1279609100">
    <w:abstractNumId w:val="14"/>
  </w:num>
  <w:num w:numId="5" w16cid:durableId="1651329858">
    <w:abstractNumId w:val="1"/>
  </w:num>
  <w:num w:numId="6" w16cid:durableId="1757938739">
    <w:abstractNumId w:val="7"/>
  </w:num>
  <w:num w:numId="7" w16cid:durableId="1911116312">
    <w:abstractNumId w:val="2"/>
  </w:num>
  <w:num w:numId="8" w16cid:durableId="144008568">
    <w:abstractNumId w:val="5"/>
  </w:num>
  <w:num w:numId="9" w16cid:durableId="2084906410">
    <w:abstractNumId w:val="0"/>
  </w:num>
  <w:num w:numId="10" w16cid:durableId="729956946">
    <w:abstractNumId w:val="4"/>
  </w:num>
  <w:num w:numId="11" w16cid:durableId="1058817344">
    <w:abstractNumId w:val="13"/>
  </w:num>
  <w:num w:numId="12" w16cid:durableId="45616243">
    <w:abstractNumId w:val="11"/>
  </w:num>
  <w:num w:numId="13" w16cid:durableId="1853914475">
    <w:abstractNumId w:val="10"/>
  </w:num>
  <w:num w:numId="14" w16cid:durableId="1081759794">
    <w:abstractNumId w:val="8"/>
  </w:num>
  <w:num w:numId="15" w16cid:durableId="2090299110">
    <w:abstractNumId w:val="9"/>
  </w:num>
  <w:num w:numId="16" w16cid:durableId="996811605">
    <w:abstractNumId w:val="15"/>
  </w:num>
  <w:num w:numId="17" w16cid:durableId="8246637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C27"/>
    <w:rsid w:val="000019AF"/>
    <w:rsid w:val="00011CA3"/>
    <w:rsid w:val="000B7D74"/>
    <w:rsid w:val="005C1A92"/>
    <w:rsid w:val="00665B2C"/>
    <w:rsid w:val="006945FC"/>
    <w:rsid w:val="00772070"/>
    <w:rsid w:val="007E6E97"/>
    <w:rsid w:val="00821F2D"/>
    <w:rsid w:val="008538F3"/>
    <w:rsid w:val="00896464"/>
    <w:rsid w:val="00A61C38"/>
    <w:rsid w:val="00C52883"/>
    <w:rsid w:val="00CE2E6D"/>
    <w:rsid w:val="00D1072F"/>
    <w:rsid w:val="00E66C27"/>
    <w:rsid w:val="00E6790E"/>
    <w:rsid w:val="00E86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F7493"/>
  <w15:chartTrackingRefBased/>
  <w15:docId w15:val="{BA55AE44-9D38-4DD2-AFEF-0E9FFBB25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6C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6C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6C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6C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6C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6C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C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C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C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C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6C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6C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6C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6C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6C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C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C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C27"/>
    <w:rPr>
      <w:rFonts w:eastAsiaTheme="majorEastAsia" w:cstheme="majorBidi"/>
      <w:color w:val="272727" w:themeColor="text1" w:themeTint="D8"/>
    </w:rPr>
  </w:style>
  <w:style w:type="paragraph" w:styleId="Title">
    <w:name w:val="Title"/>
    <w:basedOn w:val="Normal"/>
    <w:next w:val="Normal"/>
    <w:link w:val="TitleChar"/>
    <w:uiPriority w:val="10"/>
    <w:qFormat/>
    <w:rsid w:val="00E66C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C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C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C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C27"/>
    <w:pPr>
      <w:spacing w:before="160"/>
      <w:jc w:val="center"/>
    </w:pPr>
    <w:rPr>
      <w:i/>
      <w:iCs/>
      <w:color w:val="404040" w:themeColor="text1" w:themeTint="BF"/>
    </w:rPr>
  </w:style>
  <w:style w:type="character" w:customStyle="1" w:styleId="QuoteChar">
    <w:name w:val="Quote Char"/>
    <w:basedOn w:val="DefaultParagraphFont"/>
    <w:link w:val="Quote"/>
    <w:uiPriority w:val="29"/>
    <w:rsid w:val="00E66C27"/>
    <w:rPr>
      <w:i/>
      <w:iCs/>
      <w:color w:val="404040" w:themeColor="text1" w:themeTint="BF"/>
    </w:rPr>
  </w:style>
  <w:style w:type="paragraph" w:styleId="ListParagraph">
    <w:name w:val="List Paragraph"/>
    <w:basedOn w:val="Normal"/>
    <w:uiPriority w:val="34"/>
    <w:qFormat/>
    <w:rsid w:val="00E66C27"/>
    <w:pPr>
      <w:ind w:left="720"/>
      <w:contextualSpacing/>
    </w:pPr>
  </w:style>
  <w:style w:type="character" w:styleId="IntenseEmphasis">
    <w:name w:val="Intense Emphasis"/>
    <w:basedOn w:val="DefaultParagraphFont"/>
    <w:uiPriority w:val="21"/>
    <w:qFormat/>
    <w:rsid w:val="00E66C27"/>
    <w:rPr>
      <w:i/>
      <w:iCs/>
      <w:color w:val="0F4761" w:themeColor="accent1" w:themeShade="BF"/>
    </w:rPr>
  </w:style>
  <w:style w:type="paragraph" w:styleId="IntenseQuote">
    <w:name w:val="Intense Quote"/>
    <w:basedOn w:val="Normal"/>
    <w:next w:val="Normal"/>
    <w:link w:val="IntenseQuoteChar"/>
    <w:uiPriority w:val="30"/>
    <w:qFormat/>
    <w:rsid w:val="00E66C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6C27"/>
    <w:rPr>
      <w:i/>
      <w:iCs/>
      <w:color w:val="0F4761" w:themeColor="accent1" w:themeShade="BF"/>
    </w:rPr>
  </w:style>
  <w:style w:type="character" w:styleId="IntenseReference">
    <w:name w:val="Intense Reference"/>
    <w:basedOn w:val="DefaultParagraphFont"/>
    <w:uiPriority w:val="32"/>
    <w:qFormat/>
    <w:rsid w:val="00E66C27"/>
    <w:rPr>
      <w:b/>
      <w:bCs/>
      <w:smallCaps/>
      <w:color w:val="0F4761" w:themeColor="accent1" w:themeShade="BF"/>
      <w:spacing w:val="5"/>
    </w:rPr>
  </w:style>
  <w:style w:type="paragraph" w:styleId="NormalWeb">
    <w:name w:val="Normal (Web)"/>
    <w:basedOn w:val="Normal"/>
    <w:uiPriority w:val="99"/>
    <w:unhideWhenUsed/>
    <w:rsid w:val="00E66C2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5</Pages>
  <Words>1552</Words>
  <Characters>10091</Characters>
  <Application>Microsoft Office Word</Application>
  <DocSecurity>0</DocSecurity>
  <Lines>168</Lines>
  <Paragraphs>57</Paragraphs>
  <ScaleCrop>false</ScaleCrop>
  <Company/>
  <LinksUpToDate>false</LinksUpToDate>
  <CharactersWithSpaces>11586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Melendez</dc:creator>
  <cp:keywords/>
  <dc:description/>
  <cp:lastModifiedBy>Rebecca Melendez</cp:lastModifiedBy>
  <cp:revision>15</cp:revision>
  <dcterms:created xsi:type="dcterms:W3CDTF">2026-05-08T20:06:00Z</dcterms:created>
  <dcterms:modified xsi:type="dcterms:W3CDTF">2026-05-08T22:28:00Z</dcterms:modified>
</cp:coreProperties>
</file>